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6E" w:rsidRPr="00EE6B6E" w:rsidRDefault="00EE6B6E" w:rsidP="00EE6B6E">
      <w:pPr>
        <w:ind w:firstLineChars="0" w:firstLine="0"/>
        <w:jc w:val="center"/>
        <w:rPr>
          <w:rFonts w:ascii="黑体" w:eastAsia="黑体" w:hAnsi="黑体"/>
          <w:b/>
          <w:sz w:val="32"/>
        </w:rPr>
      </w:pPr>
      <w:r w:rsidRPr="00EE6B6E">
        <w:rPr>
          <w:rFonts w:ascii="黑体" w:eastAsia="黑体" w:hAnsi="黑体" w:hint="eastAsia"/>
          <w:b/>
          <w:sz w:val="32"/>
        </w:rPr>
        <w:t>技术要求说明</w:t>
      </w:r>
    </w:p>
    <w:p w:rsidR="0048197D" w:rsidRDefault="00EE6B6E">
      <w:pPr>
        <w:ind w:firstLine="480"/>
      </w:pPr>
      <w:r>
        <w:rPr>
          <w:rFonts w:hint="eastAsia"/>
        </w:rPr>
        <w:t>购买板料为</w:t>
      </w:r>
      <w:r>
        <w:rPr>
          <w:rFonts w:hint="eastAsia"/>
        </w:rPr>
        <w:t>O</w:t>
      </w:r>
      <w:r>
        <w:rPr>
          <w:rFonts w:hint="eastAsia"/>
        </w:rPr>
        <w:t>态</w:t>
      </w:r>
      <w:r>
        <w:rPr>
          <w:rFonts w:hint="eastAsia"/>
        </w:rPr>
        <w:t>2</w:t>
      </w:r>
      <w:r>
        <w:t>219</w:t>
      </w:r>
      <w:r w:rsidR="0035680D">
        <w:rPr>
          <w:rFonts w:hint="eastAsia"/>
        </w:rPr>
        <w:t>铝合金件</w:t>
      </w:r>
      <w:r>
        <w:rPr>
          <w:rFonts w:hint="eastAsia"/>
        </w:rPr>
        <w:t>，</w:t>
      </w:r>
      <w:r w:rsidR="006D26F9">
        <w:rPr>
          <w:rFonts w:hint="eastAsia"/>
        </w:rPr>
        <w:t>并附带发货单</w:t>
      </w:r>
      <w:r w:rsidR="0035680D">
        <w:rPr>
          <w:rFonts w:hint="eastAsia"/>
        </w:rPr>
        <w:t>。</w:t>
      </w:r>
      <w:r w:rsidR="006D26F9">
        <w:rPr>
          <w:rFonts w:hint="eastAsia"/>
        </w:rPr>
        <w:t>该</w:t>
      </w:r>
      <w:r w:rsidR="0035680D">
        <w:rPr>
          <w:rFonts w:hint="eastAsia"/>
        </w:rPr>
        <w:t>零件</w:t>
      </w:r>
      <w:r w:rsidR="006D26F9">
        <w:rPr>
          <w:rFonts w:hint="eastAsia"/>
        </w:rPr>
        <w:t>经</w:t>
      </w:r>
      <w:r w:rsidR="006D26F9">
        <w:rPr>
          <w:rFonts w:hint="eastAsia"/>
        </w:rPr>
        <w:t>T</w:t>
      </w:r>
      <w:r w:rsidR="006D26F9">
        <w:t>6</w:t>
      </w:r>
      <w:r w:rsidR="006D26F9">
        <w:rPr>
          <w:rFonts w:hint="eastAsia"/>
        </w:rPr>
        <w:t>处理后应到达</w:t>
      </w:r>
      <w:proofErr w:type="gramStart"/>
      <w:r w:rsidR="006D26F9">
        <w:rPr>
          <w:rFonts w:hint="eastAsia"/>
        </w:rPr>
        <w:t>本说明</w:t>
      </w:r>
      <w:proofErr w:type="gramEnd"/>
      <w:r w:rsidR="006D26F9">
        <w:rPr>
          <w:rFonts w:hint="eastAsia"/>
        </w:rPr>
        <w:t>表</w:t>
      </w:r>
      <w:r w:rsidR="00B72797">
        <w:t>3</w:t>
      </w:r>
      <w:r w:rsidR="006D26F9">
        <w:rPr>
          <w:rFonts w:hint="eastAsia"/>
        </w:rPr>
        <w:t>的力学性能状态，</w:t>
      </w:r>
      <w:r w:rsidRPr="00EE6B6E">
        <w:rPr>
          <w:rFonts w:hint="eastAsia"/>
        </w:rPr>
        <w:t>其具体要求如下：</w:t>
      </w:r>
    </w:p>
    <w:p w:rsidR="0035680D" w:rsidRPr="00406889" w:rsidRDefault="00406889" w:rsidP="00406889">
      <w:pPr>
        <w:ind w:firstLineChars="0" w:firstLine="0"/>
        <w:jc w:val="center"/>
        <w:rPr>
          <w:b/>
          <w:sz w:val="21"/>
        </w:rPr>
      </w:pPr>
      <w:r>
        <w:rPr>
          <w:rFonts w:hint="eastAsia"/>
          <w:b/>
          <w:sz w:val="21"/>
        </w:rPr>
        <w:t>表</w:t>
      </w:r>
      <w:r>
        <w:rPr>
          <w:rFonts w:hint="eastAsia"/>
          <w:b/>
          <w:sz w:val="21"/>
        </w:rPr>
        <w:t>1</w:t>
      </w:r>
      <w:r>
        <w:rPr>
          <w:b/>
          <w:sz w:val="21"/>
        </w:rPr>
        <w:t xml:space="preserve"> </w:t>
      </w:r>
      <w:r w:rsidR="0035680D" w:rsidRPr="00406889">
        <w:rPr>
          <w:rFonts w:hint="eastAsia"/>
          <w:b/>
          <w:sz w:val="21"/>
        </w:rPr>
        <w:t>规格要求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276"/>
        <w:gridCol w:w="850"/>
        <w:gridCol w:w="709"/>
        <w:gridCol w:w="3969"/>
      </w:tblGrid>
      <w:tr w:rsidR="004E7835" w:rsidRPr="00A25E3D" w:rsidTr="004E7835">
        <w:trPr>
          <w:jc w:val="center"/>
        </w:trPr>
        <w:tc>
          <w:tcPr>
            <w:tcW w:w="1417" w:type="dxa"/>
            <w:vAlign w:val="center"/>
          </w:tcPr>
          <w:p w:rsidR="004E7835" w:rsidRPr="003B4996" w:rsidRDefault="004E7835" w:rsidP="00C358CD">
            <w:pPr>
              <w:ind w:firstLineChars="0" w:firstLine="0"/>
              <w:jc w:val="center"/>
              <w:rPr>
                <w:rFonts w:cs="Times New Roman"/>
                <w:sz w:val="18"/>
                <w:szCs w:val="21"/>
              </w:rPr>
            </w:pPr>
            <w:r w:rsidRPr="003B4996">
              <w:rPr>
                <w:rFonts w:cs="Times New Roman"/>
                <w:sz w:val="18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4E7835" w:rsidRPr="003B4996" w:rsidRDefault="004E7835" w:rsidP="00C358CD">
            <w:pPr>
              <w:ind w:firstLineChars="0" w:firstLine="0"/>
              <w:jc w:val="center"/>
              <w:rPr>
                <w:rFonts w:cs="Times New Roman"/>
                <w:sz w:val="18"/>
                <w:szCs w:val="21"/>
              </w:rPr>
            </w:pPr>
            <w:r w:rsidRPr="003B4996">
              <w:rPr>
                <w:rFonts w:cs="Times New Roman" w:hint="eastAsia"/>
                <w:sz w:val="18"/>
                <w:szCs w:val="21"/>
              </w:rPr>
              <w:t>质量</w:t>
            </w:r>
          </w:p>
        </w:tc>
        <w:tc>
          <w:tcPr>
            <w:tcW w:w="850" w:type="dxa"/>
            <w:vAlign w:val="center"/>
          </w:tcPr>
          <w:p w:rsidR="004E7835" w:rsidRPr="003B4996" w:rsidRDefault="004E7835" w:rsidP="00C358CD">
            <w:pPr>
              <w:ind w:firstLineChars="0" w:firstLine="0"/>
              <w:jc w:val="center"/>
              <w:rPr>
                <w:rFonts w:cs="Times New Roman"/>
                <w:sz w:val="18"/>
                <w:szCs w:val="21"/>
              </w:rPr>
            </w:pPr>
            <w:r w:rsidRPr="003B4996">
              <w:rPr>
                <w:rFonts w:cs="Times New Roman"/>
                <w:sz w:val="18"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4E7835" w:rsidRPr="003B4996" w:rsidRDefault="004E7835" w:rsidP="00C358CD">
            <w:pPr>
              <w:ind w:firstLineChars="0" w:firstLine="0"/>
              <w:jc w:val="center"/>
              <w:rPr>
                <w:rFonts w:cs="Times New Roman"/>
                <w:sz w:val="18"/>
                <w:szCs w:val="21"/>
              </w:rPr>
            </w:pPr>
            <w:r w:rsidRPr="003B4996">
              <w:rPr>
                <w:rFonts w:cs="Times New Roman"/>
                <w:sz w:val="18"/>
                <w:szCs w:val="21"/>
              </w:rPr>
              <w:t>状态</w:t>
            </w:r>
          </w:p>
        </w:tc>
        <w:tc>
          <w:tcPr>
            <w:tcW w:w="3969" w:type="dxa"/>
            <w:vAlign w:val="center"/>
          </w:tcPr>
          <w:p w:rsidR="004E7835" w:rsidRPr="003B4996" w:rsidRDefault="004E7835" w:rsidP="00C358CD">
            <w:pPr>
              <w:ind w:firstLineChars="0" w:firstLine="0"/>
              <w:jc w:val="center"/>
              <w:rPr>
                <w:rFonts w:cs="Times New Roman"/>
                <w:sz w:val="18"/>
                <w:szCs w:val="21"/>
              </w:rPr>
            </w:pPr>
            <w:r w:rsidRPr="003B4996">
              <w:rPr>
                <w:rFonts w:cs="Times New Roman"/>
                <w:sz w:val="18"/>
                <w:szCs w:val="21"/>
              </w:rPr>
              <w:t>质量要求</w:t>
            </w:r>
          </w:p>
        </w:tc>
      </w:tr>
      <w:tr w:rsidR="004E7835" w:rsidRPr="00A25E3D" w:rsidTr="004E7835">
        <w:trPr>
          <w:jc w:val="center"/>
        </w:trPr>
        <w:tc>
          <w:tcPr>
            <w:tcW w:w="1417" w:type="dxa"/>
            <w:vAlign w:val="center"/>
          </w:tcPr>
          <w:p w:rsidR="004E7835" w:rsidRPr="003B4996" w:rsidRDefault="004E7835" w:rsidP="00C358CD">
            <w:pPr>
              <w:ind w:firstLineChars="0" w:firstLine="0"/>
              <w:jc w:val="center"/>
              <w:rPr>
                <w:rFonts w:cs="Times New Roman"/>
                <w:sz w:val="18"/>
                <w:szCs w:val="21"/>
              </w:rPr>
            </w:pPr>
            <w:r w:rsidRPr="003B4996">
              <w:rPr>
                <w:rFonts w:cs="Times New Roman"/>
                <w:sz w:val="18"/>
                <w:szCs w:val="21"/>
              </w:rPr>
              <w:t>2219</w:t>
            </w:r>
            <w:r w:rsidRPr="003B4996">
              <w:rPr>
                <w:rFonts w:cs="Times New Roman"/>
                <w:sz w:val="18"/>
                <w:szCs w:val="21"/>
              </w:rPr>
              <w:t>铝合金</w:t>
            </w:r>
          </w:p>
        </w:tc>
        <w:tc>
          <w:tcPr>
            <w:tcW w:w="1276" w:type="dxa"/>
            <w:vAlign w:val="center"/>
          </w:tcPr>
          <w:p w:rsidR="004E7835" w:rsidRPr="003B4996" w:rsidRDefault="004E7835" w:rsidP="00EE6B6E">
            <w:pPr>
              <w:ind w:firstLineChars="0" w:firstLine="0"/>
              <w:jc w:val="center"/>
              <w:rPr>
                <w:rFonts w:cs="Times New Roman"/>
                <w:sz w:val="18"/>
                <w:szCs w:val="21"/>
              </w:rPr>
            </w:pPr>
            <w:r w:rsidRPr="003B4996">
              <w:rPr>
                <w:rFonts w:cs="Times New Roman" w:hint="eastAsia"/>
                <w:sz w:val="18"/>
                <w:szCs w:val="21"/>
              </w:rPr>
              <w:t>0</w:t>
            </w:r>
            <w:r w:rsidRPr="003B4996">
              <w:rPr>
                <w:rFonts w:cs="Times New Roman"/>
                <w:sz w:val="18"/>
                <w:szCs w:val="21"/>
              </w:rPr>
              <w:t>.3</w:t>
            </w:r>
            <w:r w:rsidRPr="003B4996">
              <w:rPr>
                <w:rFonts w:cs="Times New Roman" w:hint="eastAsia"/>
                <w:sz w:val="18"/>
                <w:szCs w:val="21"/>
              </w:rPr>
              <w:t>吨</w:t>
            </w:r>
            <w:r w:rsidRPr="003B4996">
              <w:rPr>
                <w:rFonts w:cs="Times New Roman"/>
                <w:sz w:val="18"/>
                <w:szCs w:val="21"/>
              </w:rPr>
              <w:t>/</w:t>
            </w:r>
            <w:r w:rsidRPr="003B4996">
              <w:rPr>
                <w:rFonts w:cs="Times New Roman" w:hint="eastAsia"/>
                <w:sz w:val="18"/>
                <w:szCs w:val="21"/>
              </w:rPr>
              <w:t>件</w:t>
            </w:r>
          </w:p>
        </w:tc>
        <w:tc>
          <w:tcPr>
            <w:tcW w:w="850" w:type="dxa"/>
            <w:vAlign w:val="center"/>
          </w:tcPr>
          <w:p w:rsidR="004E7835" w:rsidRPr="003B4996" w:rsidRDefault="004E7835" w:rsidP="00C358CD">
            <w:pPr>
              <w:ind w:firstLineChars="0" w:firstLine="0"/>
              <w:jc w:val="center"/>
              <w:rPr>
                <w:rFonts w:cs="Times New Roman"/>
                <w:sz w:val="18"/>
                <w:szCs w:val="21"/>
              </w:rPr>
            </w:pPr>
            <w:r w:rsidRPr="003B4996">
              <w:rPr>
                <w:rFonts w:cs="Times New Roman"/>
                <w:sz w:val="18"/>
                <w:szCs w:val="21"/>
              </w:rPr>
              <w:t>3</w:t>
            </w:r>
            <w:r w:rsidRPr="003B4996">
              <w:rPr>
                <w:rFonts w:cs="Times New Roman" w:hint="eastAsia"/>
                <w:sz w:val="18"/>
                <w:szCs w:val="21"/>
              </w:rPr>
              <w:t>件</w:t>
            </w:r>
          </w:p>
        </w:tc>
        <w:tc>
          <w:tcPr>
            <w:tcW w:w="709" w:type="dxa"/>
            <w:vAlign w:val="center"/>
          </w:tcPr>
          <w:p w:rsidR="004E7835" w:rsidRPr="003B4996" w:rsidRDefault="004E7835" w:rsidP="00C358CD">
            <w:pPr>
              <w:ind w:firstLineChars="0" w:firstLine="0"/>
              <w:jc w:val="center"/>
              <w:rPr>
                <w:rFonts w:cs="Times New Roman"/>
                <w:sz w:val="18"/>
                <w:szCs w:val="21"/>
              </w:rPr>
            </w:pPr>
            <w:r w:rsidRPr="003B4996">
              <w:rPr>
                <w:rFonts w:cs="Times New Roman"/>
                <w:sz w:val="18"/>
                <w:szCs w:val="21"/>
              </w:rPr>
              <w:t>O</w:t>
            </w:r>
            <w:r w:rsidRPr="003B4996">
              <w:rPr>
                <w:rFonts w:cs="Times New Roman"/>
                <w:sz w:val="18"/>
                <w:szCs w:val="21"/>
              </w:rPr>
              <w:t>态</w:t>
            </w:r>
          </w:p>
        </w:tc>
        <w:tc>
          <w:tcPr>
            <w:tcW w:w="3969" w:type="dxa"/>
            <w:vAlign w:val="center"/>
          </w:tcPr>
          <w:p w:rsidR="004E7835" w:rsidRPr="003B4996" w:rsidRDefault="004E7835" w:rsidP="00C358CD">
            <w:pPr>
              <w:ind w:firstLineChars="0" w:firstLine="0"/>
              <w:jc w:val="center"/>
              <w:rPr>
                <w:rFonts w:cs="Times New Roman"/>
                <w:sz w:val="18"/>
                <w:szCs w:val="21"/>
              </w:rPr>
            </w:pPr>
            <w:r w:rsidRPr="003B4996">
              <w:rPr>
                <w:rFonts w:cs="Times New Roman" w:hint="eastAsia"/>
                <w:sz w:val="18"/>
                <w:szCs w:val="21"/>
              </w:rPr>
              <w:t>按以下执行，未提及部分按照</w:t>
            </w:r>
            <w:r w:rsidRPr="003B4996">
              <w:rPr>
                <w:rFonts w:cs="Times New Roman" w:hint="eastAsia"/>
                <w:sz w:val="18"/>
                <w:szCs w:val="21"/>
              </w:rPr>
              <w:t>G</w:t>
            </w:r>
            <w:r w:rsidRPr="003B4996">
              <w:rPr>
                <w:rFonts w:cs="Times New Roman"/>
                <w:sz w:val="18"/>
                <w:szCs w:val="21"/>
              </w:rPr>
              <w:t>JB</w:t>
            </w:r>
            <w:r w:rsidRPr="003B4996">
              <w:rPr>
                <w:rFonts w:cs="Times New Roman" w:hint="eastAsia"/>
                <w:sz w:val="18"/>
                <w:szCs w:val="21"/>
              </w:rPr>
              <w:t>执行</w:t>
            </w:r>
          </w:p>
        </w:tc>
      </w:tr>
    </w:tbl>
    <w:p w:rsidR="0035680D" w:rsidRPr="00406889" w:rsidRDefault="00406889" w:rsidP="00406889">
      <w:pPr>
        <w:ind w:firstLineChars="0" w:firstLine="0"/>
        <w:jc w:val="center"/>
        <w:rPr>
          <w:b/>
          <w:sz w:val="21"/>
        </w:rPr>
      </w:pPr>
      <w:r>
        <w:rPr>
          <w:rFonts w:hint="eastAsia"/>
          <w:b/>
          <w:sz w:val="21"/>
        </w:rPr>
        <w:t>表</w:t>
      </w:r>
      <w:r>
        <w:rPr>
          <w:rFonts w:hint="eastAsia"/>
          <w:b/>
          <w:sz w:val="21"/>
        </w:rPr>
        <w:t>2</w:t>
      </w:r>
      <w:r>
        <w:rPr>
          <w:b/>
          <w:sz w:val="21"/>
        </w:rPr>
        <w:t xml:space="preserve"> </w:t>
      </w:r>
      <w:r w:rsidR="0035680D" w:rsidRPr="00406889">
        <w:rPr>
          <w:rFonts w:hint="eastAsia"/>
          <w:b/>
          <w:sz w:val="21"/>
        </w:rPr>
        <w:t>化学成分</w:t>
      </w:r>
    </w:p>
    <w:tbl>
      <w:tblPr>
        <w:tblStyle w:val="a7"/>
        <w:tblW w:w="8359" w:type="dxa"/>
        <w:tblLayout w:type="fixed"/>
        <w:tblLook w:val="04A0" w:firstRow="1" w:lastRow="0" w:firstColumn="1" w:lastColumn="0" w:noHBand="0" w:noVBand="1"/>
      </w:tblPr>
      <w:tblGrid>
        <w:gridCol w:w="696"/>
        <w:gridCol w:w="697"/>
        <w:gridCol w:w="696"/>
        <w:gridCol w:w="697"/>
        <w:gridCol w:w="696"/>
        <w:gridCol w:w="697"/>
        <w:gridCol w:w="697"/>
        <w:gridCol w:w="696"/>
        <w:gridCol w:w="697"/>
        <w:gridCol w:w="696"/>
        <w:gridCol w:w="697"/>
        <w:gridCol w:w="697"/>
      </w:tblGrid>
      <w:tr w:rsidR="0035680D" w:rsidRPr="00406889" w:rsidTr="00874FE4">
        <w:trPr>
          <w:trHeight w:val="832"/>
        </w:trPr>
        <w:tc>
          <w:tcPr>
            <w:tcW w:w="696" w:type="dxa"/>
            <w:vMerge w:val="restart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元素名称</w:t>
            </w:r>
          </w:p>
        </w:tc>
        <w:tc>
          <w:tcPr>
            <w:tcW w:w="697" w:type="dxa"/>
            <w:vMerge w:val="restart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Si</w:t>
            </w:r>
          </w:p>
        </w:tc>
        <w:tc>
          <w:tcPr>
            <w:tcW w:w="696" w:type="dxa"/>
            <w:vMerge w:val="restart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Fe</w:t>
            </w:r>
          </w:p>
        </w:tc>
        <w:tc>
          <w:tcPr>
            <w:tcW w:w="697" w:type="dxa"/>
            <w:vMerge w:val="restart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Cu</w:t>
            </w:r>
          </w:p>
        </w:tc>
        <w:tc>
          <w:tcPr>
            <w:tcW w:w="696" w:type="dxa"/>
            <w:vMerge w:val="restart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406889">
              <w:rPr>
                <w:rFonts w:cs="Times New Roman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697" w:type="dxa"/>
            <w:vMerge w:val="restart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Mg</w:t>
            </w:r>
          </w:p>
        </w:tc>
        <w:tc>
          <w:tcPr>
            <w:tcW w:w="697" w:type="dxa"/>
            <w:vMerge w:val="restart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Zn</w:t>
            </w:r>
          </w:p>
        </w:tc>
        <w:tc>
          <w:tcPr>
            <w:tcW w:w="696" w:type="dxa"/>
            <w:vMerge w:val="restart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V</w:t>
            </w:r>
          </w:p>
        </w:tc>
        <w:tc>
          <w:tcPr>
            <w:tcW w:w="697" w:type="dxa"/>
            <w:vMerge w:val="restart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406889">
              <w:rPr>
                <w:rFonts w:cs="Times New Roman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696" w:type="dxa"/>
            <w:vMerge w:val="restart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406889">
              <w:rPr>
                <w:rFonts w:cs="Times New Roman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1394" w:type="dxa"/>
            <w:gridSpan w:val="2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其他</w:t>
            </w:r>
          </w:p>
        </w:tc>
      </w:tr>
      <w:tr w:rsidR="0035680D" w:rsidRPr="00406889" w:rsidTr="0035680D">
        <w:trPr>
          <w:trHeight w:val="421"/>
        </w:trPr>
        <w:tc>
          <w:tcPr>
            <w:tcW w:w="696" w:type="dxa"/>
            <w:vMerge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单个</w:t>
            </w:r>
          </w:p>
        </w:tc>
        <w:tc>
          <w:tcPr>
            <w:tcW w:w="697" w:type="dxa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合计</w:t>
            </w:r>
          </w:p>
        </w:tc>
      </w:tr>
      <w:tr w:rsidR="0035680D" w:rsidRPr="00406889" w:rsidTr="0035680D">
        <w:tc>
          <w:tcPr>
            <w:tcW w:w="696" w:type="dxa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含量</w:t>
            </w:r>
            <w:r w:rsidRPr="00406889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≤0.12</w:t>
            </w:r>
          </w:p>
        </w:tc>
        <w:tc>
          <w:tcPr>
            <w:tcW w:w="696" w:type="dxa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≤0.2</w:t>
            </w:r>
          </w:p>
        </w:tc>
        <w:tc>
          <w:tcPr>
            <w:tcW w:w="697" w:type="dxa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5.8~6.8</w:t>
            </w:r>
          </w:p>
        </w:tc>
        <w:tc>
          <w:tcPr>
            <w:tcW w:w="696" w:type="dxa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0.20~0.40</w:t>
            </w:r>
          </w:p>
        </w:tc>
        <w:tc>
          <w:tcPr>
            <w:tcW w:w="697" w:type="dxa"/>
            <w:vAlign w:val="center"/>
          </w:tcPr>
          <w:p w:rsidR="0035680D" w:rsidRPr="00406889" w:rsidRDefault="0035680D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0.02</w:t>
            </w:r>
          </w:p>
        </w:tc>
        <w:tc>
          <w:tcPr>
            <w:tcW w:w="697" w:type="dxa"/>
            <w:vAlign w:val="center"/>
          </w:tcPr>
          <w:p w:rsidR="0035680D" w:rsidRPr="00406889" w:rsidRDefault="00406889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≤0.10</w:t>
            </w:r>
          </w:p>
        </w:tc>
        <w:tc>
          <w:tcPr>
            <w:tcW w:w="696" w:type="dxa"/>
            <w:vAlign w:val="center"/>
          </w:tcPr>
          <w:p w:rsidR="0035680D" w:rsidRPr="00406889" w:rsidRDefault="00406889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0.05~0.15</w:t>
            </w:r>
          </w:p>
        </w:tc>
        <w:tc>
          <w:tcPr>
            <w:tcW w:w="697" w:type="dxa"/>
            <w:vAlign w:val="center"/>
          </w:tcPr>
          <w:p w:rsidR="0035680D" w:rsidRPr="00406889" w:rsidRDefault="00406889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0.02~0.10</w:t>
            </w:r>
          </w:p>
        </w:tc>
        <w:tc>
          <w:tcPr>
            <w:tcW w:w="696" w:type="dxa"/>
            <w:vAlign w:val="center"/>
          </w:tcPr>
          <w:p w:rsidR="0035680D" w:rsidRPr="00406889" w:rsidRDefault="00406889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0.10~0.25</w:t>
            </w:r>
          </w:p>
        </w:tc>
        <w:tc>
          <w:tcPr>
            <w:tcW w:w="697" w:type="dxa"/>
            <w:vAlign w:val="center"/>
          </w:tcPr>
          <w:p w:rsidR="0035680D" w:rsidRPr="00406889" w:rsidRDefault="00406889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≤0.05</w:t>
            </w:r>
          </w:p>
        </w:tc>
        <w:tc>
          <w:tcPr>
            <w:tcW w:w="697" w:type="dxa"/>
            <w:vAlign w:val="center"/>
          </w:tcPr>
          <w:p w:rsidR="0035680D" w:rsidRPr="00406889" w:rsidRDefault="00406889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/>
                <w:sz w:val="18"/>
                <w:szCs w:val="18"/>
              </w:rPr>
              <w:t>≤0.15</w:t>
            </w:r>
          </w:p>
        </w:tc>
      </w:tr>
      <w:tr w:rsidR="0035680D" w:rsidRPr="00406889" w:rsidTr="00B16274">
        <w:tc>
          <w:tcPr>
            <w:tcW w:w="8359" w:type="dxa"/>
            <w:gridSpan w:val="12"/>
            <w:vAlign w:val="center"/>
          </w:tcPr>
          <w:p w:rsidR="0035680D" w:rsidRPr="00406889" w:rsidRDefault="00406889" w:rsidP="0035680D">
            <w:pPr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406889">
              <w:rPr>
                <w:rFonts w:cs="Times New Roman" w:hint="eastAsia"/>
                <w:sz w:val="16"/>
                <w:szCs w:val="18"/>
              </w:rPr>
              <w:t>注：铝合金板材低熔点金属元素（</w:t>
            </w:r>
            <w:r w:rsidRPr="00406889">
              <w:rPr>
                <w:rFonts w:cs="Times New Roman" w:hint="eastAsia"/>
                <w:sz w:val="16"/>
                <w:szCs w:val="18"/>
              </w:rPr>
              <w:t>Bi</w:t>
            </w:r>
            <w:r w:rsidRPr="00406889">
              <w:rPr>
                <w:rFonts w:cs="Times New Roman" w:hint="eastAsia"/>
                <w:sz w:val="16"/>
                <w:szCs w:val="18"/>
              </w:rPr>
              <w:t>、</w:t>
            </w:r>
            <w:r w:rsidRPr="00406889">
              <w:rPr>
                <w:rFonts w:cs="Times New Roman" w:hint="eastAsia"/>
                <w:sz w:val="16"/>
                <w:szCs w:val="18"/>
              </w:rPr>
              <w:t>Sn</w:t>
            </w:r>
            <w:r w:rsidRPr="00406889">
              <w:rPr>
                <w:rFonts w:cs="Times New Roman" w:hint="eastAsia"/>
                <w:sz w:val="16"/>
                <w:szCs w:val="18"/>
              </w:rPr>
              <w:t>、</w:t>
            </w:r>
            <w:proofErr w:type="spellStart"/>
            <w:r w:rsidRPr="00406889">
              <w:rPr>
                <w:rFonts w:cs="Times New Roman" w:hint="eastAsia"/>
                <w:sz w:val="16"/>
                <w:szCs w:val="18"/>
              </w:rPr>
              <w:t>Pb</w:t>
            </w:r>
            <w:proofErr w:type="spellEnd"/>
            <w:r w:rsidRPr="00406889">
              <w:rPr>
                <w:rFonts w:cs="Times New Roman" w:hint="eastAsia"/>
                <w:sz w:val="16"/>
                <w:szCs w:val="18"/>
              </w:rPr>
              <w:t>）含量不大于</w:t>
            </w:r>
            <w:r w:rsidRPr="00406889">
              <w:rPr>
                <w:rFonts w:cs="Times New Roman" w:hint="eastAsia"/>
                <w:sz w:val="16"/>
                <w:szCs w:val="18"/>
              </w:rPr>
              <w:t>0.001%</w:t>
            </w:r>
            <w:r w:rsidRPr="00406889">
              <w:rPr>
                <w:rFonts w:cs="Times New Roman" w:hint="eastAsia"/>
                <w:sz w:val="16"/>
                <w:szCs w:val="18"/>
              </w:rPr>
              <w:t>，供方质量证明书中提供实测数据。</w:t>
            </w:r>
          </w:p>
        </w:tc>
      </w:tr>
    </w:tbl>
    <w:p w:rsidR="00EE6B6E" w:rsidRPr="00406889" w:rsidRDefault="00406889" w:rsidP="00406889">
      <w:pPr>
        <w:ind w:firstLineChars="0" w:firstLine="0"/>
        <w:jc w:val="center"/>
        <w:rPr>
          <w:b/>
          <w:noProof/>
          <w:sz w:val="21"/>
        </w:rPr>
      </w:pPr>
      <w:r>
        <w:rPr>
          <w:rFonts w:hint="eastAsia"/>
          <w:b/>
          <w:noProof/>
          <w:sz w:val="21"/>
        </w:rPr>
        <w:t>表</w:t>
      </w:r>
      <w:r>
        <w:rPr>
          <w:rFonts w:hint="eastAsia"/>
          <w:b/>
          <w:noProof/>
          <w:sz w:val="21"/>
        </w:rPr>
        <w:t>3</w:t>
      </w:r>
      <w:r>
        <w:rPr>
          <w:b/>
          <w:noProof/>
          <w:sz w:val="21"/>
        </w:rPr>
        <w:t xml:space="preserve"> </w:t>
      </w:r>
      <w:r w:rsidR="0035680D" w:rsidRPr="00406889">
        <w:rPr>
          <w:rFonts w:hint="eastAsia"/>
          <w:b/>
          <w:noProof/>
          <w:sz w:val="21"/>
        </w:rPr>
        <w:t>力学性能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393"/>
        <w:gridCol w:w="1393"/>
        <w:gridCol w:w="1393"/>
        <w:gridCol w:w="1393"/>
        <w:gridCol w:w="1511"/>
        <w:gridCol w:w="1276"/>
      </w:tblGrid>
      <w:tr w:rsidR="00406889" w:rsidRPr="00406889" w:rsidTr="00406889">
        <w:tc>
          <w:tcPr>
            <w:tcW w:w="1393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 w:rsidRPr="00406889">
              <w:rPr>
                <w:rFonts w:cs="Times New Roman"/>
                <w:sz w:val="18"/>
              </w:rPr>
              <w:t>供应状态</w:t>
            </w:r>
          </w:p>
        </w:tc>
        <w:tc>
          <w:tcPr>
            <w:tcW w:w="1393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 w:rsidRPr="00406889">
              <w:rPr>
                <w:rFonts w:cs="Times New Roman" w:hint="eastAsia"/>
                <w:sz w:val="18"/>
              </w:rPr>
              <w:t>试样状态</w:t>
            </w:r>
          </w:p>
        </w:tc>
        <w:tc>
          <w:tcPr>
            <w:tcW w:w="1393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 w:rsidRPr="00406889">
              <w:rPr>
                <w:rFonts w:cs="Times New Roman" w:hint="eastAsia"/>
                <w:sz w:val="18"/>
              </w:rPr>
              <w:t>厚度</w:t>
            </w:r>
          </w:p>
        </w:tc>
        <w:tc>
          <w:tcPr>
            <w:tcW w:w="1393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 w:rsidRPr="00406889">
              <w:rPr>
                <w:rFonts w:cs="Times New Roman" w:hint="eastAsia"/>
                <w:sz w:val="18"/>
              </w:rPr>
              <w:t>抗拉强度</w:t>
            </w:r>
          </w:p>
        </w:tc>
        <w:tc>
          <w:tcPr>
            <w:tcW w:w="1511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 w:rsidRPr="00406889">
              <w:rPr>
                <w:rFonts w:cs="Times New Roman" w:hint="eastAsia"/>
                <w:sz w:val="18"/>
              </w:rPr>
              <w:t>非比例延伸强度</w:t>
            </w:r>
          </w:p>
        </w:tc>
        <w:tc>
          <w:tcPr>
            <w:tcW w:w="1276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 w:rsidRPr="00406889">
              <w:rPr>
                <w:rFonts w:cs="Times New Roman" w:hint="eastAsia"/>
                <w:sz w:val="18"/>
              </w:rPr>
              <w:t>断后伸长率</w:t>
            </w:r>
          </w:p>
        </w:tc>
      </w:tr>
      <w:tr w:rsidR="00406889" w:rsidRPr="00406889" w:rsidTr="00406889">
        <w:tc>
          <w:tcPr>
            <w:tcW w:w="1393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</w:t>
            </w:r>
          </w:p>
        </w:tc>
        <w:tc>
          <w:tcPr>
            <w:tcW w:w="1393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O</w:t>
            </w:r>
          </w:p>
        </w:tc>
        <w:tc>
          <w:tcPr>
            <w:tcW w:w="1393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＞</w:t>
            </w:r>
            <w:r>
              <w:rPr>
                <w:rFonts w:cs="Times New Roman" w:hint="eastAsia"/>
                <w:sz w:val="18"/>
              </w:rPr>
              <w:t>1</w:t>
            </w:r>
            <w:r>
              <w:rPr>
                <w:rFonts w:cs="Times New Roman"/>
                <w:sz w:val="18"/>
              </w:rPr>
              <w:t>2.5</w:t>
            </w:r>
            <w:r>
              <w:rPr>
                <w:rFonts w:cs="Times New Roman" w:hint="eastAsia"/>
                <w:sz w:val="18"/>
              </w:rPr>
              <w:t>~</w:t>
            </w:r>
            <w:r>
              <w:rPr>
                <w:rFonts w:cs="Times New Roman"/>
                <w:sz w:val="18"/>
              </w:rPr>
              <w:t>25.0</w:t>
            </w:r>
          </w:p>
        </w:tc>
        <w:tc>
          <w:tcPr>
            <w:tcW w:w="1393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不小于</w:t>
            </w:r>
            <w:r>
              <w:rPr>
                <w:rFonts w:cs="Times New Roman" w:hint="eastAsia"/>
                <w:sz w:val="18"/>
              </w:rPr>
              <w:t>2</w:t>
            </w:r>
            <w:r>
              <w:rPr>
                <w:rFonts w:cs="Times New Roman"/>
                <w:sz w:val="18"/>
              </w:rPr>
              <w:t>20</w:t>
            </w:r>
          </w:p>
        </w:tc>
        <w:tc>
          <w:tcPr>
            <w:tcW w:w="1511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 w:rsidRPr="00406889">
              <w:rPr>
                <w:rFonts w:cs="Times New Roman" w:hint="eastAsia"/>
                <w:sz w:val="18"/>
              </w:rPr>
              <w:t>不小于</w:t>
            </w:r>
            <w:r>
              <w:rPr>
                <w:rFonts w:cs="Times New Roman"/>
                <w:sz w:val="18"/>
              </w:rPr>
              <w:t>11</w:t>
            </w:r>
            <w:r w:rsidRPr="00406889">
              <w:rPr>
                <w:rFonts w:cs="Times New Roman" w:hint="eastAsia"/>
                <w:sz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1</w:t>
            </w:r>
            <w:r>
              <w:rPr>
                <w:rFonts w:cs="Times New Roman"/>
                <w:sz w:val="18"/>
              </w:rPr>
              <w:t>2</w:t>
            </w:r>
            <w:r>
              <w:rPr>
                <w:rFonts w:cs="Times New Roman" w:hint="eastAsia"/>
                <w:sz w:val="18"/>
              </w:rPr>
              <w:t>%</w:t>
            </w:r>
          </w:p>
        </w:tc>
      </w:tr>
      <w:tr w:rsidR="00406889" w:rsidRPr="00406889" w:rsidTr="00406889">
        <w:tc>
          <w:tcPr>
            <w:tcW w:w="1393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T</w:t>
            </w:r>
            <w:r>
              <w:rPr>
                <w:rFonts w:cs="Times New Roman"/>
                <w:sz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T</w:t>
            </w:r>
            <w:r>
              <w:rPr>
                <w:rFonts w:cs="Times New Roman"/>
                <w:sz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 w:rsidRPr="00406889">
              <w:rPr>
                <w:rFonts w:cs="Times New Roman" w:hint="eastAsia"/>
                <w:sz w:val="18"/>
              </w:rPr>
              <w:t>＞</w:t>
            </w:r>
            <w:r w:rsidRPr="00406889">
              <w:rPr>
                <w:rFonts w:cs="Times New Roman" w:hint="eastAsia"/>
                <w:sz w:val="18"/>
              </w:rPr>
              <w:t>12.5~25.0</w:t>
            </w:r>
          </w:p>
        </w:tc>
        <w:tc>
          <w:tcPr>
            <w:tcW w:w="1393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 w:rsidRPr="00406889">
              <w:rPr>
                <w:rFonts w:cs="Times New Roman"/>
                <w:sz w:val="18"/>
              </w:rPr>
              <w:t>不小于</w:t>
            </w:r>
            <w:r>
              <w:rPr>
                <w:rFonts w:cs="Times New Roman" w:hint="eastAsia"/>
                <w:sz w:val="18"/>
              </w:rPr>
              <w:t>4</w:t>
            </w:r>
            <w:r>
              <w:rPr>
                <w:rFonts w:cs="Times New Roman"/>
                <w:sz w:val="18"/>
              </w:rPr>
              <w:t>25</w:t>
            </w:r>
          </w:p>
        </w:tc>
        <w:tc>
          <w:tcPr>
            <w:tcW w:w="1511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 w:rsidRPr="00406889">
              <w:rPr>
                <w:rFonts w:cs="Times New Roman"/>
                <w:sz w:val="18"/>
              </w:rPr>
              <w:t>不小于</w:t>
            </w:r>
            <w:r>
              <w:rPr>
                <w:rFonts w:cs="Times New Roman" w:hint="eastAsia"/>
                <w:sz w:val="18"/>
              </w:rPr>
              <w:t>3</w:t>
            </w:r>
            <w:r>
              <w:rPr>
                <w:rFonts w:cs="Times New Roman"/>
                <w:sz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406889" w:rsidRPr="00406889" w:rsidRDefault="00406889" w:rsidP="00406889">
            <w:pPr>
              <w:ind w:firstLineChars="0" w:firstLine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7%</w:t>
            </w:r>
          </w:p>
        </w:tc>
      </w:tr>
    </w:tbl>
    <w:p w:rsidR="00406889" w:rsidRDefault="00406889" w:rsidP="00406889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、外形尺寸及偏差：</w:t>
      </w:r>
    </w:p>
    <w:p w:rsidR="00406889" w:rsidRDefault="00406889" w:rsidP="00406889">
      <w:pPr>
        <w:ind w:firstLine="480"/>
      </w:pPr>
      <w:r>
        <w:rPr>
          <w:rFonts w:hint="eastAsia"/>
        </w:rPr>
        <w:t>板材厚度、宽度和长度的尺寸允许偏差应符合</w:t>
      </w:r>
      <w:r>
        <w:rPr>
          <w:rFonts w:hint="eastAsia"/>
        </w:rPr>
        <w:t>GB</w:t>
      </w:r>
      <w:r>
        <w:t>/</w:t>
      </w:r>
      <w:r>
        <w:rPr>
          <w:rFonts w:hint="eastAsia"/>
        </w:rPr>
        <w:t>T38</w:t>
      </w:r>
      <w:r>
        <w:t>80.</w:t>
      </w:r>
      <w:r>
        <w:rPr>
          <w:rFonts w:hint="eastAsia"/>
        </w:rPr>
        <w:t>3</w:t>
      </w:r>
      <w:r>
        <w:rPr>
          <w:rFonts w:hint="eastAsia"/>
        </w:rPr>
        <w:t>的规定，厚度小于</w:t>
      </w:r>
      <w:r>
        <w:rPr>
          <w:rFonts w:hint="eastAsia"/>
        </w:rPr>
        <w:t>4mn</w:t>
      </w:r>
      <w:r>
        <w:rPr>
          <w:rFonts w:hint="eastAsia"/>
        </w:rPr>
        <w:t>的板材一般采用冷轧，冷轧板材未注明要求时，按照普通级执行超规格板材，尺寸公差由供需双方协商处理并在合同中注明。板材的</w:t>
      </w:r>
      <w:proofErr w:type="gramStart"/>
      <w:r>
        <w:rPr>
          <w:rFonts w:hint="eastAsia"/>
        </w:rPr>
        <w:t>同板差</w:t>
      </w:r>
      <w:proofErr w:type="gramEnd"/>
      <w:r>
        <w:rPr>
          <w:rFonts w:hint="eastAsia"/>
        </w:rPr>
        <w:t>应不大于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25mm</w:t>
      </w:r>
      <w:r>
        <w:rPr>
          <w:rFonts w:hint="eastAsia"/>
        </w:rPr>
        <w:t>。板材的不平度为整板要求，厚度小于或等于</w:t>
      </w:r>
      <w:r>
        <w:rPr>
          <w:rFonts w:hint="eastAsia"/>
        </w:rPr>
        <w:t>10mm</w:t>
      </w:r>
      <w:r>
        <w:rPr>
          <w:rFonts w:hint="eastAsia"/>
        </w:rPr>
        <w:t>的板材不平度不大于</w:t>
      </w:r>
      <w:r>
        <w:rPr>
          <w:rFonts w:hint="eastAsia"/>
        </w:rPr>
        <w:t>6m</w:t>
      </w:r>
      <w:r>
        <w:rPr>
          <w:rFonts w:hint="eastAsia"/>
        </w:rPr>
        <w:t>，厚度大于</w:t>
      </w:r>
      <w:r>
        <w:rPr>
          <w:rFonts w:hint="eastAsia"/>
        </w:rPr>
        <w:t>10mm</w:t>
      </w:r>
      <w:r>
        <w:rPr>
          <w:rFonts w:hint="eastAsia"/>
        </w:rPr>
        <w:t>的板材不平度不大于</w:t>
      </w:r>
      <w:r>
        <w:rPr>
          <w:rFonts w:hint="eastAsia"/>
        </w:rPr>
        <w:t>4mm</w:t>
      </w:r>
      <w:r w:rsidR="00FF7002">
        <w:rPr>
          <w:rFonts w:hint="eastAsia"/>
        </w:rPr>
        <w:t>。</w:t>
      </w:r>
      <w:bookmarkStart w:id="0" w:name="_GoBack"/>
      <w:bookmarkEnd w:id="0"/>
    </w:p>
    <w:p w:rsidR="00406889" w:rsidRDefault="00406889" w:rsidP="00406889">
      <w:pPr>
        <w:ind w:firstLine="480"/>
      </w:pPr>
      <w:r>
        <w:t>2</w:t>
      </w:r>
      <w:r>
        <w:rPr>
          <w:rFonts w:hint="eastAsia"/>
        </w:rPr>
        <w:t>、低倍组织：</w:t>
      </w:r>
    </w:p>
    <w:p w:rsidR="00A9451F" w:rsidRDefault="00406889" w:rsidP="00406889">
      <w:pPr>
        <w:ind w:firstLine="480"/>
      </w:pPr>
      <w:r>
        <w:rPr>
          <w:rFonts w:hint="eastAsia"/>
        </w:rPr>
        <w:t>厚度大于等于</w:t>
      </w:r>
      <w:r>
        <w:rPr>
          <w:rFonts w:hint="eastAsia"/>
        </w:rPr>
        <w:t>4.0mm</w:t>
      </w:r>
      <w:r>
        <w:rPr>
          <w:rFonts w:hint="eastAsia"/>
        </w:rPr>
        <w:t>的板材，低倍组织不允许有裂纹、分层、气孔、疏松、夹渣、非金属夹杂、光亮晶粒、粗大晶粒（</w:t>
      </w:r>
      <w:r>
        <w:rPr>
          <w:rFonts w:hint="eastAsia"/>
        </w:rPr>
        <w:t>4</w:t>
      </w:r>
      <w:r>
        <w:rPr>
          <w:rFonts w:hint="eastAsia"/>
        </w:rPr>
        <w:t>级以上）及</w:t>
      </w:r>
      <w:proofErr w:type="gramStart"/>
      <w:r>
        <w:rPr>
          <w:rFonts w:hint="eastAsia"/>
        </w:rPr>
        <w:t>羽毛状晶等</w:t>
      </w:r>
      <w:proofErr w:type="gramEnd"/>
      <w:r>
        <w:rPr>
          <w:rFonts w:hint="eastAsia"/>
        </w:rPr>
        <w:t>缺陷：对整板品粒度有特殊要求时，由供需双方协商处理并在合同中注明</w:t>
      </w:r>
      <w:r w:rsidR="00A9451F">
        <w:rPr>
          <w:rFonts w:hint="eastAsia"/>
        </w:rPr>
        <w:t>。</w:t>
      </w:r>
    </w:p>
    <w:p w:rsidR="00A9451F" w:rsidRDefault="00A9451F" w:rsidP="00406889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406889">
        <w:rPr>
          <w:rFonts w:hint="eastAsia"/>
        </w:rPr>
        <w:t>显微组织</w:t>
      </w:r>
    </w:p>
    <w:p w:rsidR="00A9451F" w:rsidRDefault="00406889" w:rsidP="00406889">
      <w:pPr>
        <w:ind w:firstLine="480"/>
      </w:pPr>
      <w:r>
        <w:rPr>
          <w:rFonts w:hint="eastAsia"/>
        </w:rPr>
        <w:t>强化态板材的显微组织不允许有过烧</w:t>
      </w:r>
      <w:r w:rsidR="00A9451F">
        <w:rPr>
          <w:rFonts w:hint="eastAsia"/>
        </w:rPr>
        <w:t>。</w:t>
      </w:r>
    </w:p>
    <w:p w:rsidR="00A9451F" w:rsidRDefault="00A9451F" w:rsidP="00406889">
      <w:pPr>
        <w:ind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406889">
        <w:rPr>
          <w:rFonts w:hint="eastAsia"/>
        </w:rPr>
        <w:t>氢含量</w:t>
      </w:r>
      <w:r>
        <w:rPr>
          <w:rFonts w:hint="eastAsia"/>
        </w:rPr>
        <w:t>：</w:t>
      </w:r>
    </w:p>
    <w:p w:rsidR="00A9451F" w:rsidRDefault="00406889" w:rsidP="00406889">
      <w:pPr>
        <w:ind w:firstLine="480"/>
      </w:pPr>
      <w:r>
        <w:rPr>
          <w:rFonts w:hint="eastAsia"/>
        </w:rPr>
        <w:t>铸锭的液态氢含量不大于</w:t>
      </w:r>
      <w:r>
        <w:rPr>
          <w:rFonts w:hint="eastAsia"/>
        </w:rPr>
        <w:t>0.16mL/100gA1</w:t>
      </w:r>
      <w:r>
        <w:rPr>
          <w:rFonts w:hint="eastAsia"/>
        </w:rPr>
        <w:t>，</w:t>
      </w:r>
      <w:r w:rsidR="00A9451F">
        <w:rPr>
          <w:rFonts w:hint="eastAsia"/>
        </w:rPr>
        <w:t>厂家</w:t>
      </w:r>
      <w:r>
        <w:rPr>
          <w:rFonts w:hint="eastAsia"/>
        </w:rPr>
        <w:t>提供实测数据：厚度</w:t>
      </w:r>
      <w:r>
        <w:rPr>
          <w:rFonts w:hint="eastAsia"/>
        </w:rPr>
        <w:t>10</w:t>
      </w:r>
      <w:r w:rsidR="00A9451F">
        <w:rPr>
          <w:rFonts w:hint="eastAsia"/>
        </w:rPr>
        <w:t>~</w:t>
      </w:r>
      <w:r>
        <w:rPr>
          <w:rFonts w:hint="eastAsia"/>
        </w:rPr>
        <w:t>25mm</w:t>
      </w:r>
      <w:r>
        <w:rPr>
          <w:rFonts w:hint="eastAsia"/>
        </w:rPr>
        <w:t>的板材，固态</w:t>
      </w:r>
      <w:proofErr w:type="gramStart"/>
      <w:r>
        <w:rPr>
          <w:rFonts w:hint="eastAsia"/>
        </w:rPr>
        <w:t>测氢不</w:t>
      </w:r>
      <w:proofErr w:type="gramEnd"/>
      <w:r>
        <w:rPr>
          <w:rFonts w:hint="eastAsia"/>
        </w:rPr>
        <w:t>大于</w:t>
      </w:r>
      <w:r>
        <w:rPr>
          <w:rFonts w:hint="eastAsia"/>
        </w:rPr>
        <w:t>0.2mL/100gA1</w:t>
      </w:r>
      <w:r w:rsidR="00A9451F">
        <w:rPr>
          <w:rFonts w:hint="eastAsia"/>
        </w:rPr>
        <w:t>。</w:t>
      </w:r>
    </w:p>
    <w:p w:rsidR="00A9451F" w:rsidRDefault="00A9451F" w:rsidP="00406889">
      <w:pPr>
        <w:ind w:firstLine="480"/>
      </w:pPr>
      <w:r>
        <w:rPr>
          <w:rFonts w:hint="eastAsia"/>
        </w:rPr>
        <w:lastRenderedPageBreak/>
        <w:t>5</w:t>
      </w:r>
      <w:r>
        <w:rPr>
          <w:rFonts w:hint="eastAsia"/>
        </w:rPr>
        <w:t>、</w:t>
      </w:r>
      <w:r w:rsidR="00406889">
        <w:rPr>
          <w:rFonts w:hint="eastAsia"/>
        </w:rPr>
        <w:t>外观质量</w:t>
      </w:r>
    </w:p>
    <w:p w:rsidR="00B72797" w:rsidRDefault="00406889" w:rsidP="00406889">
      <w:pPr>
        <w:ind w:firstLine="480"/>
      </w:pPr>
      <w:r>
        <w:rPr>
          <w:rFonts w:hint="eastAsia"/>
        </w:rPr>
        <w:t>板材表面应清洁，不允许有硝盐蚀点及处理不掉的油痕，不允许有气泡及包铝层脱落等缺陷</w:t>
      </w:r>
      <w:r w:rsidR="00A9451F">
        <w:rPr>
          <w:rFonts w:hint="eastAsia"/>
        </w:rPr>
        <w:t>；</w:t>
      </w:r>
      <w:r>
        <w:rPr>
          <w:rFonts w:hint="eastAsia"/>
        </w:rPr>
        <w:t>板材包铝层下不允许存在</w:t>
      </w:r>
      <w:r w:rsidR="00B72797">
        <w:rPr>
          <w:rFonts w:hint="eastAsia"/>
        </w:rPr>
        <w:t>裂纹、龟裂、裂口、</w:t>
      </w:r>
      <w:r>
        <w:rPr>
          <w:rFonts w:hint="eastAsia"/>
        </w:rPr>
        <w:t>分层</w:t>
      </w:r>
      <w:r w:rsidR="00B72797">
        <w:rPr>
          <w:rFonts w:hint="eastAsia"/>
        </w:rPr>
        <w:t>、</w:t>
      </w:r>
      <w:r>
        <w:rPr>
          <w:rFonts w:hint="eastAsia"/>
        </w:rPr>
        <w:t>压痕</w:t>
      </w:r>
      <w:r w:rsidR="00B72797">
        <w:rPr>
          <w:rFonts w:hint="eastAsia"/>
        </w:rPr>
        <w:t>、</w:t>
      </w:r>
      <w:r>
        <w:rPr>
          <w:rFonts w:hint="eastAsia"/>
        </w:rPr>
        <w:t>起皮、非金属夹杂物及非金属压入物等缺陷：包铝层下质量由供方工艺保证，需方带包</w:t>
      </w:r>
      <w:proofErr w:type="gramStart"/>
      <w:r>
        <w:rPr>
          <w:rFonts w:hint="eastAsia"/>
        </w:rPr>
        <w:t>铝进行</w:t>
      </w:r>
      <w:proofErr w:type="gramEnd"/>
      <w:r>
        <w:rPr>
          <w:rFonts w:hint="eastAsia"/>
        </w:rPr>
        <w:t>表面检查</w:t>
      </w:r>
      <w:r w:rsidR="00B72797">
        <w:rPr>
          <w:rFonts w:hint="eastAsia"/>
        </w:rPr>
        <w:t>。</w:t>
      </w:r>
    </w:p>
    <w:p w:rsidR="00406889" w:rsidRDefault="00406889" w:rsidP="00406889">
      <w:pPr>
        <w:ind w:firstLine="480"/>
      </w:pPr>
      <w:r>
        <w:rPr>
          <w:rFonts w:hint="eastAsia"/>
        </w:rPr>
        <w:t>板材表面上允许有少量印痕、金属</w:t>
      </w:r>
      <w:proofErr w:type="gramStart"/>
      <w:r>
        <w:rPr>
          <w:rFonts w:hint="eastAsia"/>
        </w:rPr>
        <w:t>压人物</w:t>
      </w:r>
      <w:proofErr w:type="gramEnd"/>
      <w:r>
        <w:rPr>
          <w:rFonts w:hint="eastAsia"/>
        </w:rPr>
        <w:t>允许有轻微的划伤、擦伤、划痕等，所有这些缺陷的深度均不应超过板材厚度允许负偏差之半，并保证板材最小厚度：深度超过</w:t>
      </w:r>
      <w:r>
        <w:rPr>
          <w:rFonts w:hint="eastAsia"/>
        </w:rPr>
        <w:t>0</w:t>
      </w:r>
      <w:r w:rsidR="00B72797">
        <w:t>.</w:t>
      </w:r>
      <w:r>
        <w:rPr>
          <w:rFonts w:hint="eastAsia"/>
        </w:rPr>
        <w:t>3m</w:t>
      </w:r>
      <w:r w:rsidR="00B72797">
        <w:rPr>
          <w:rFonts w:hint="eastAsia"/>
        </w:rPr>
        <w:t>m</w:t>
      </w:r>
      <w:r>
        <w:rPr>
          <w:rFonts w:hint="eastAsia"/>
        </w:rPr>
        <w:t>的缺陷仅允许在板材的单侧存在。</w:t>
      </w:r>
    </w:p>
    <w:p w:rsidR="00B72797" w:rsidRDefault="00406889" w:rsidP="00406889">
      <w:pPr>
        <w:ind w:firstLine="480"/>
      </w:pPr>
      <w:r>
        <w:rPr>
          <w:rFonts w:hint="eastAsia"/>
        </w:rPr>
        <w:t>板材表面允许有酸碱洗可消除的轻微氧化色、光滑发亮区、顺轧制方向暗色区等</w:t>
      </w:r>
      <w:r w:rsidR="00B72797">
        <w:rPr>
          <w:rFonts w:hint="eastAsia"/>
        </w:rPr>
        <w:t>。</w:t>
      </w:r>
    </w:p>
    <w:p w:rsidR="00B72797" w:rsidRDefault="00B72797" w:rsidP="00406889">
      <w:pPr>
        <w:ind w:firstLine="480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406889">
        <w:rPr>
          <w:rFonts w:hint="eastAsia"/>
        </w:rPr>
        <w:t>超声波探伤</w:t>
      </w:r>
    </w:p>
    <w:p w:rsidR="00406889" w:rsidRDefault="00406889" w:rsidP="00406889">
      <w:pPr>
        <w:ind w:firstLine="480"/>
      </w:pPr>
      <w:r>
        <w:rPr>
          <w:rFonts w:hint="eastAsia"/>
        </w:rPr>
        <w:t>厚度为</w:t>
      </w:r>
      <w:r>
        <w:rPr>
          <w:rFonts w:hint="eastAsia"/>
        </w:rPr>
        <w:t>1~5mm</w:t>
      </w:r>
      <w:r>
        <w:rPr>
          <w:rFonts w:hint="eastAsia"/>
        </w:rPr>
        <w:t>板材的超声波检验执行</w:t>
      </w:r>
      <w:r>
        <w:rPr>
          <w:rFonts w:hint="eastAsia"/>
        </w:rPr>
        <w:t>GJB33</w:t>
      </w:r>
      <w:r w:rsidR="00B72797">
        <w:t>8</w:t>
      </w:r>
      <w:r>
        <w:rPr>
          <w:rFonts w:hint="eastAsia"/>
        </w:rPr>
        <w:t>4</w:t>
      </w:r>
      <w:r>
        <w:rPr>
          <w:rFonts w:hint="eastAsia"/>
        </w:rPr>
        <w:t>相关规定，并允许采取其他方法进行辅助检测：厚度大于</w:t>
      </w:r>
      <w:r>
        <w:rPr>
          <w:rFonts w:hint="eastAsia"/>
        </w:rPr>
        <w:t>5m</w:t>
      </w:r>
      <w:r w:rsidR="00B72797">
        <w:rPr>
          <w:rFonts w:hint="eastAsia"/>
        </w:rPr>
        <w:t>m</w:t>
      </w:r>
      <w:r>
        <w:rPr>
          <w:rFonts w:hint="eastAsia"/>
        </w:rPr>
        <w:t>小于</w:t>
      </w:r>
      <w:r>
        <w:rPr>
          <w:rFonts w:hint="eastAsia"/>
        </w:rPr>
        <w:t>10mm</w:t>
      </w:r>
      <w:r>
        <w:rPr>
          <w:rFonts w:hint="eastAsia"/>
        </w:rPr>
        <w:t>板材的超声波检验，参照执行</w:t>
      </w:r>
      <w:r>
        <w:rPr>
          <w:rFonts w:hint="eastAsia"/>
        </w:rPr>
        <w:t>GB</w:t>
      </w:r>
      <w:r w:rsidR="00B72797">
        <w:t>/</w:t>
      </w:r>
      <w:r>
        <w:rPr>
          <w:rFonts w:hint="eastAsia"/>
        </w:rPr>
        <w:t>T6519</w:t>
      </w:r>
      <w:r w:rsidR="00B72797">
        <w:t>-</w:t>
      </w:r>
      <w:r>
        <w:rPr>
          <w:rFonts w:hint="eastAsia"/>
        </w:rPr>
        <w:t>2013</w:t>
      </w:r>
      <w:r>
        <w:rPr>
          <w:rFonts w:hint="eastAsia"/>
        </w:rPr>
        <w:t>中</w:t>
      </w:r>
      <w:r>
        <w:rPr>
          <w:rFonts w:hint="eastAsia"/>
        </w:rPr>
        <w:t>B</w:t>
      </w:r>
      <w:r>
        <w:rPr>
          <w:rFonts w:hint="eastAsia"/>
        </w:rPr>
        <w:t>级相关规定；厚度为</w:t>
      </w:r>
      <w:r>
        <w:rPr>
          <w:rFonts w:hint="eastAsia"/>
        </w:rPr>
        <w:t>10</w:t>
      </w:r>
      <w:r w:rsidR="00B72797">
        <w:rPr>
          <w:rFonts w:hint="eastAsia"/>
        </w:rPr>
        <w:t>~</w:t>
      </w:r>
      <w:r>
        <w:rPr>
          <w:rFonts w:hint="eastAsia"/>
        </w:rPr>
        <w:t>25</w:t>
      </w:r>
      <w:r w:rsidR="00B72797">
        <w:rPr>
          <w:rFonts w:hint="eastAsia"/>
        </w:rPr>
        <w:t>mm</w:t>
      </w:r>
      <w:r>
        <w:rPr>
          <w:rFonts w:hint="eastAsia"/>
        </w:rPr>
        <w:t>板材执行</w:t>
      </w:r>
      <w:r>
        <w:rPr>
          <w:rFonts w:hint="eastAsia"/>
        </w:rPr>
        <w:t>GB</w:t>
      </w:r>
      <w:r w:rsidR="00B72797">
        <w:t>/</w:t>
      </w:r>
      <w:r>
        <w:rPr>
          <w:rFonts w:hint="eastAsia"/>
        </w:rPr>
        <w:t>T6519</w:t>
      </w:r>
      <w:r w:rsidR="00B72797">
        <w:t>-</w:t>
      </w:r>
      <w:r>
        <w:rPr>
          <w:rFonts w:hint="eastAsia"/>
        </w:rPr>
        <w:t>2013</w:t>
      </w:r>
      <w:r>
        <w:rPr>
          <w:rFonts w:hint="eastAsia"/>
        </w:rPr>
        <w:t>中</w:t>
      </w:r>
      <w:r>
        <w:rPr>
          <w:rFonts w:hint="eastAsia"/>
        </w:rPr>
        <w:t>B</w:t>
      </w:r>
      <w:r>
        <w:rPr>
          <w:rFonts w:hint="eastAsia"/>
        </w:rPr>
        <w:t>级相关规定</w:t>
      </w:r>
      <w:r w:rsidR="00B72797">
        <w:rPr>
          <w:rFonts w:hint="eastAsia"/>
        </w:rPr>
        <w:t>；</w:t>
      </w:r>
      <w:r>
        <w:rPr>
          <w:rFonts w:hint="eastAsia"/>
        </w:rPr>
        <w:t>超声波探伤有特殊要求时，需在合同中注明。</w:t>
      </w:r>
    </w:p>
    <w:p w:rsidR="00EE6B6E" w:rsidRDefault="00EE6B6E" w:rsidP="00EE6B6E">
      <w:pPr>
        <w:ind w:firstLineChars="0" w:firstLine="0"/>
        <w:jc w:val="center"/>
      </w:pPr>
    </w:p>
    <w:sectPr w:rsidR="00EE6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DC" w:rsidRDefault="009748DC" w:rsidP="00EE6B6E">
      <w:pPr>
        <w:spacing w:line="240" w:lineRule="auto"/>
        <w:ind w:firstLine="480"/>
      </w:pPr>
      <w:r>
        <w:separator/>
      </w:r>
    </w:p>
  </w:endnote>
  <w:endnote w:type="continuationSeparator" w:id="0">
    <w:p w:rsidR="009748DC" w:rsidRDefault="009748DC" w:rsidP="00EE6B6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6E" w:rsidRDefault="00EE6B6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6E" w:rsidRDefault="00EE6B6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6E" w:rsidRDefault="00EE6B6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DC" w:rsidRDefault="009748DC" w:rsidP="00EE6B6E">
      <w:pPr>
        <w:spacing w:line="240" w:lineRule="auto"/>
        <w:ind w:firstLine="480"/>
      </w:pPr>
      <w:r>
        <w:separator/>
      </w:r>
    </w:p>
  </w:footnote>
  <w:footnote w:type="continuationSeparator" w:id="0">
    <w:p w:rsidR="009748DC" w:rsidRDefault="009748DC" w:rsidP="00EE6B6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6E" w:rsidRDefault="00EE6B6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6E" w:rsidRDefault="00EE6B6E" w:rsidP="00EE6B6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6E" w:rsidRDefault="00EE6B6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FB"/>
    <w:rsid w:val="001C455A"/>
    <w:rsid w:val="00263960"/>
    <w:rsid w:val="0035680D"/>
    <w:rsid w:val="003B4996"/>
    <w:rsid w:val="00406889"/>
    <w:rsid w:val="00411405"/>
    <w:rsid w:val="004247C6"/>
    <w:rsid w:val="00432CCC"/>
    <w:rsid w:val="0048197D"/>
    <w:rsid w:val="00484FC7"/>
    <w:rsid w:val="004B661C"/>
    <w:rsid w:val="004E7835"/>
    <w:rsid w:val="00522A10"/>
    <w:rsid w:val="005844A5"/>
    <w:rsid w:val="005A26F5"/>
    <w:rsid w:val="00676725"/>
    <w:rsid w:val="006D26F9"/>
    <w:rsid w:val="00754AC3"/>
    <w:rsid w:val="00861DE0"/>
    <w:rsid w:val="00867A5E"/>
    <w:rsid w:val="009378AC"/>
    <w:rsid w:val="009748DC"/>
    <w:rsid w:val="009C7147"/>
    <w:rsid w:val="00A344FB"/>
    <w:rsid w:val="00A47585"/>
    <w:rsid w:val="00A9451F"/>
    <w:rsid w:val="00B72797"/>
    <w:rsid w:val="00B860C9"/>
    <w:rsid w:val="00BC0738"/>
    <w:rsid w:val="00C80FA4"/>
    <w:rsid w:val="00E82BEB"/>
    <w:rsid w:val="00E8327B"/>
    <w:rsid w:val="00EA6E53"/>
    <w:rsid w:val="00EE6B6E"/>
    <w:rsid w:val="00F70C87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B57AE"/>
  <w15:chartTrackingRefBased/>
  <w15:docId w15:val="{164E8A30-06FD-4924-A888-546698F5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60"/>
    <w:pPr>
      <w:ind w:firstLineChars="200" w:firstLine="200"/>
    </w:pPr>
  </w:style>
  <w:style w:type="paragraph" w:styleId="1">
    <w:name w:val="heading 1"/>
    <w:basedOn w:val="a"/>
    <w:next w:val="a"/>
    <w:link w:val="10"/>
    <w:uiPriority w:val="9"/>
    <w:qFormat/>
    <w:rsid w:val="00E8327B"/>
    <w:pPr>
      <w:keepNext/>
      <w:keepLines/>
      <w:spacing w:beforeLines="25" w:before="25" w:afterLines="25" w:after="25"/>
      <w:ind w:firstLineChars="0" w:firstLine="0"/>
      <w:outlineLvl w:val="0"/>
    </w:pPr>
    <w:rPr>
      <w:rFonts w:eastAsia="黑体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8327B"/>
    <w:pPr>
      <w:keepNext/>
      <w:keepLines/>
      <w:spacing w:beforeLines="25" w:before="25" w:afterLines="25" w:after="25"/>
      <w:ind w:firstLineChars="0" w:firstLine="0"/>
      <w:outlineLvl w:val="1"/>
    </w:pPr>
    <w:rPr>
      <w:rFonts w:eastAsia="黑体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8327B"/>
    <w:pPr>
      <w:keepNext/>
      <w:keepLines/>
      <w:spacing w:afterLines="25" w:after="25"/>
      <w:ind w:firstLineChars="0" w:firstLine="0"/>
      <w:outlineLvl w:val="2"/>
    </w:pPr>
    <w:rPr>
      <w:rFonts w:eastAsia="黑体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8327B"/>
    <w:pPr>
      <w:keepNext/>
      <w:keepLines/>
      <w:spacing w:beforeLines="25" w:before="25" w:afterLines="25" w:after="25"/>
      <w:ind w:firstLineChars="0" w:firstLine="0"/>
      <w:outlineLvl w:val="3"/>
    </w:pPr>
    <w:rPr>
      <w:rFonts w:eastAsia="黑体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8327B"/>
    <w:rPr>
      <w:rFonts w:eastAsia="黑体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8327B"/>
    <w:rPr>
      <w:rFonts w:eastAsia="黑体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E8327B"/>
    <w:rPr>
      <w:rFonts w:eastAsia="黑体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E8327B"/>
    <w:rPr>
      <w:rFonts w:eastAsia="黑体" w:cstheme="majorBidi"/>
      <w:b/>
      <w:bCs/>
      <w:szCs w:val="28"/>
    </w:rPr>
  </w:style>
  <w:style w:type="paragraph" w:styleId="a3">
    <w:name w:val="header"/>
    <w:basedOn w:val="a"/>
    <w:link w:val="a4"/>
    <w:uiPriority w:val="99"/>
    <w:unhideWhenUsed/>
    <w:rsid w:val="00EE6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6B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6B6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6B6E"/>
    <w:rPr>
      <w:sz w:val="18"/>
      <w:szCs w:val="18"/>
    </w:rPr>
  </w:style>
  <w:style w:type="table" w:styleId="a7">
    <w:name w:val="Table Grid"/>
    <w:basedOn w:val="a1"/>
    <w:uiPriority w:val="39"/>
    <w:rsid w:val="00EE6B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a"/>
    <w:next w:val="a"/>
    <w:link w:val="MTDisplayEquation0"/>
    <w:rsid w:val="006D26F9"/>
    <w:pPr>
      <w:tabs>
        <w:tab w:val="center" w:pos="4160"/>
        <w:tab w:val="right" w:pos="8300"/>
      </w:tabs>
      <w:ind w:firstLine="480"/>
    </w:pPr>
  </w:style>
  <w:style w:type="character" w:customStyle="1" w:styleId="MTDisplayEquation0">
    <w:name w:val="MTDisplayEquation 字符"/>
    <w:basedOn w:val="a0"/>
    <w:link w:val="MTDisplayEquation"/>
    <w:rsid w:val="006D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C085-7CF2-4FC3-A45E-3FEFE6DB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185</Words>
  <Characters>1055</Characters>
  <Application>Microsoft Office Word</Application>
  <DocSecurity>0</DocSecurity>
  <Lines>8</Lines>
  <Paragraphs>2</Paragraphs>
  <ScaleCrop>false</ScaleCrop>
  <Company>微软中国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2021-04-16T09:18:00Z</dcterms:created>
  <dcterms:modified xsi:type="dcterms:W3CDTF">2021-04-20T09:19:00Z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